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9FFD9">
      <w:pPr>
        <w:spacing w:before="100" w:line="228" w:lineRule="auto"/>
        <w:ind w:left="3200"/>
        <w:outlineLvl w:val="0"/>
        <w:rPr>
          <w:rFonts w:ascii="仿宋" w:hAnsi="仿宋" w:eastAsia="仿宋" w:cs="仿宋"/>
          <w:b/>
          <w:bCs/>
          <w:spacing w:val="3"/>
          <w:sz w:val="31"/>
          <w:szCs w:val="31"/>
        </w:rPr>
      </w:pPr>
    </w:p>
    <w:p w14:paraId="3F8E8787">
      <w:pPr>
        <w:spacing w:before="100" w:line="228" w:lineRule="auto"/>
        <w:ind w:left="3200" w:firstLine="634" w:firstLineChars="20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暂停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/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终止研究报告</w:t>
      </w:r>
      <w:bookmarkStart w:id="0" w:name="_GoBack"/>
      <w:bookmarkEnd w:id="0"/>
    </w:p>
    <w:p w14:paraId="38960ED2">
      <w:pPr>
        <w:spacing w:line="208" w:lineRule="exact"/>
      </w:pPr>
    </w:p>
    <w:tbl>
      <w:tblPr>
        <w:tblStyle w:val="6"/>
        <w:tblW w:w="96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1"/>
        <w:gridCol w:w="91"/>
        <w:gridCol w:w="2137"/>
        <w:gridCol w:w="281"/>
        <w:gridCol w:w="2277"/>
        <w:gridCol w:w="141"/>
        <w:gridCol w:w="2425"/>
      </w:tblGrid>
      <w:tr w14:paraId="66DFF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331" w:type="dxa"/>
            <w:vAlign w:val="top"/>
          </w:tcPr>
          <w:p w14:paraId="74AA341C">
            <w:pPr>
              <w:spacing w:before="48" w:line="213" w:lineRule="auto"/>
              <w:ind w:left="7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352" w:type="dxa"/>
            <w:gridSpan w:val="6"/>
            <w:vAlign w:val="top"/>
          </w:tcPr>
          <w:p w14:paraId="46B43711">
            <w:pPr>
              <w:pStyle w:val="7"/>
            </w:pPr>
          </w:p>
        </w:tc>
      </w:tr>
      <w:tr w14:paraId="62145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331" w:type="dxa"/>
            <w:vAlign w:val="top"/>
          </w:tcPr>
          <w:p w14:paraId="50F703C9">
            <w:pPr>
              <w:spacing w:before="187" w:line="223" w:lineRule="auto"/>
              <w:ind w:left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临床研究类别</w:t>
            </w:r>
          </w:p>
        </w:tc>
        <w:tc>
          <w:tcPr>
            <w:tcW w:w="7352" w:type="dxa"/>
            <w:gridSpan w:val="6"/>
            <w:vAlign w:val="top"/>
          </w:tcPr>
          <w:p w14:paraId="5C740E79">
            <w:pPr>
              <w:spacing w:before="36" w:line="221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□药物临床试验   □医疗器械临床试验（含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体外诊断试剂）</w:t>
            </w:r>
          </w:p>
          <w:p w14:paraId="2B74286E">
            <w:pPr>
              <w:spacing w:before="12" w:line="208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 w14:paraId="1C7CD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331" w:type="dxa"/>
            <w:vAlign w:val="top"/>
          </w:tcPr>
          <w:p w14:paraId="1088B591">
            <w:pPr>
              <w:spacing w:before="45" w:line="212" w:lineRule="auto"/>
              <w:ind w:left="4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申办方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资助方</w:t>
            </w:r>
          </w:p>
        </w:tc>
        <w:tc>
          <w:tcPr>
            <w:tcW w:w="7352" w:type="dxa"/>
            <w:gridSpan w:val="6"/>
            <w:vAlign w:val="top"/>
          </w:tcPr>
          <w:p w14:paraId="664D78B7">
            <w:pPr>
              <w:pStyle w:val="7"/>
            </w:pPr>
          </w:p>
        </w:tc>
      </w:tr>
      <w:tr w14:paraId="46BDF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331" w:type="dxa"/>
            <w:vAlign w:val="top"/>
          </w:tcPr>
          <w:p w14:paraId="3BCD47F5">
            <w:pPr>
              <w:spacing w:before="45" w:line="212" w:lineRule="auto"/>
              <w:ind w:left="5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主要研究者</w:t>
            </w:r>
          </w:p>
        </w:tc>
        <w:tc>
          <w:tcPr>
            <w:tcW w:w="2228" w:type="dxa"/>
            <w:gridSpan w:val="2"/>
            <w:vAlign w:val="top"/>
          </w:tcPr>
          <w:p w14:paraId="6BF9AF63">
            <w:pPr>
              <w:pStyle w:val="7"/>
            </w:pPr>
          </w:p>
        </w:tc>
        <w:tc>
          <w:tcPr>
            <w:tcW w:w="2558" w:type="dxa"/>
            <w:gridSpan w:val="2"/>
            <w:vAlign w:val="top"/>
          </w:tcPr>
          <w:p w14:paraId="7975DB4A">
            <w:pPr>
              <w:spacing w:before="45" w:line="212" w:lineRule="auto"/>
              <w:ind w:left="8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2566" w:type="dxa"/>
            <w:gridSpan w:val="2"/>
            <w:vAlign w:val="top"/>
          </w:tcPr>
          <w:p w14:paraId="774DA50D">
            <w:pPr>
              <w:pStyle w:val="7"/>
            </w:pPr>
          </w:p>
        </w:tc>
      </w:tr>
      <w:tr w14:paraId="2DD17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331" w:type="dxa"/>
            <w:vAlign w:val="top"/>
          </w:tcPr>
          <w:p w14:paraId="70689B93">
            <w:pPr>
              <w:spacing w:before="45" w:line="212" w:lineRule="auto"/>
              <w:ind w:left="7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递交材料</w:t>
            </w:r>
          </w:p>
        </w:tc>
        <w:tc>
          <w:tcPr>
            <w:tcW w:w="7352" w:type="dxa"/>
            <w:gridSpan w:val="6"/>
            <w:vAlign w:val="top"/>
          </w:tcPr>
          <w:p w14:paraId="5BA60B99">
            <w:pPr>
              <w:pStyle w:val="7"/>
            </w:pPr>
          </w:p>
        </w:tc>
      </w:tr>
      <w:tr w14:paraId="056F4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4" w:hRule="atLeast"/>
        </w:trPr>
        <w:tc>
          <w:tcPr>
            <w:tcW w:w="9683" w:type="dxa"/>
            <w:gridSpan w:val="7"/>
            <w:vAlign w:val="top"/>
          </w:tcPr>
          <w:p w14:paraId="32EC3AFA">
            <w:pPr>
              <w:spacing w:before="191" w:line="222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一、一般信息</w:t>
            </w:r>
          </w:p>
          <w:p w14:paraId="6F53F43F">
            <w:pPr>
              <w:spacing w:before="69" w:line="262" w:lineRule="auto"/>
              <w:ind w:left="129" w:right="106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研究阶段：□尚未入组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已入组，正在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实施研究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□完成入组，研究参与者研究干预尚未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完成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□研究参与者研究干预已经完成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□研究参与者随访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已经完成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□后期数据处理阶段</w:t>
            </w:r>
          </w:p>
          <w:p w14:paraId="385D8215">
            <w:pPr>
              <w:spacing w:before="39" w:line="222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研究开始日期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未启动不用填写）</w:t>
            </w:r>
          </w:p>
          <w:p w14:paraId="1F5243B2">
            <w:pPr>
              <w:spacing w:before="68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研究报告申请类型：</w:t>
            </w:r>
            <w:r>
              <w:rPr>
                <w:rFonts w:ascii="仿宋" w:hAnsi="仿宋" w:eastAsia="仿宋" w:cs="仿宋"/>
                <w:spacing w:val="-8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□暂停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□终止</w:t>
            </w:r>
          </w:p>
          <w:p w14:paraId="670404EC">
            <w:pPr>
              <w:spacing w:before="73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二、研究参与者信息</w:t>
            </w:r>
          </w:p>
          <w:p w14:paraId="01BDE2FF">
            <w:pPr>
              <w:spacing w:before="69" w:line="261" w:lineRule="auto"/>
              <w:ind w:left="113" w:right="6629" w:firstLine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合同研究总例数：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已入组例数：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例</w:t>
            </w:r>
          </w:p>
          <w:p w14:paraId="520A94F5">
            <w:pPr>
              <w:spacing w:before="40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完成观察例数：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例</w:t>
            </w:r>
          </w:p>
          <w:p w14:paraId="57226229">
            <w:pPr>
              <w:spacing w:before="72" w:line="259" w:lineRule="auto"/>
              <w:ind w:left="119" w:right="2330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提前退出例数：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例（请另附“提前退出研究参与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者一览表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”）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5.SAE/SUSAR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例数：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例（请另附“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SAE/SUSAR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一览表</w:t>
            </w:r>
            <w:r>
              <w:rPr>
                <w:rFonts w:ascii="仿宋" w:hAnsi="仿宋" w:eastAsia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”）</w:t>
            </w:r>
          </w:p>
          <w:p w14:paraId="6B76BEFD">
            <w:pPr>
              <w:spacing w:before="41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6.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研究过程中，发生的违背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偏离方案事件：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例次（请另附“违背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偏离方案一览表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”）</w:t>
            </w:r>
          </w:p>
          <w:p w14:paraId="6FA27AD9">
            <w:pPr>
              <w:spacing w:before="74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三、暂停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终止研究的原因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（可另附页说明）</w:t>
            </w:r>
          </w:p>
          <w:p w14:paraId="5B8C656A">
            <w:pPr>
              <w:spacing w:before="72" w:line="222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四、有序终止研究的程序</w:t>
            </w:r>
          </w:p>
          <w:p w14:paraId="32468BF4">
            <w:pPr>
              <w:spacing w:before="68" w:line="221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是否要求召回已完成研究的研究参与者进行随访：</w:t>
            </w:r>
            <w:r>
              <w:rPr>
                <w:rFonts w:ascii="仿宋" w:hAnsi="仿宋" w:eastAsia="仿宋" w:cs="仿宋"/>
                <w:spacing w:val="-8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□是  □否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□不适用</w:t>
            </w:r>
          </w:p>
          <w:p w14:paraId="4F3FC096">
            <w:pPr>
              <w:spacing w:before="73" w:line="259" w:lineRule="auto"/>
              <w:ind w:left="117" w:right="106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是否通知在研的研究参与者，研究已经提前终止：□是  □否（请另页说明）  □不适用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在研研究参与者是否提前终止研究：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□是     □否（请另页说明）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不适用</w:t>
            </w:r>
          </w:p>
          <w:p w14:paraId="4A2487AF">
            <w:pPr>
              <w:spacing w:before="41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提前终止研究研究参与者的后续医疗与随访安排：□转入常规医疗  □有针对性的安排随</w:t>
            </w:r>
          </w:p>
          <w:p w14:paraId="6BBFE8C6">
            <w:pPr>
              <w:spacing w:before="76" w:line="220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访检测与后续治疗（请另页说明）           □不适用</w:t>
            </w:r>
          </w:p>
        </w:tc>
      </w:tr>
      <w:tr w14:paraId="2BB7F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422" w:type="dxa"/>
            <w:gridSpan w:val="2"/>
            <w:vAlign w:val="top"/>
          </w:tcPr>
          <w:p w14:paraId="7AFD0137">
            <w:pPr>
              <w:spacing w:before="49" w:line="209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主要研究者签名</w:t>
            </w:r>
          </w:p>
        </w:tc>
        <w:tc>
          <w:tcPr>
            <w:tcW w:w="2418" w:type="dxa"/>
            <w:gridSpan w:val="2"/>
            <w:vAlign w:val="top"/>
          </w:tcPr>
          <w:p w14:paraId="5020AB47">
            <w:pPr>
              <w:pStyle w:val="7"/>
            </w:pPr>
          </w:p>
        </w:tc>
        <w:tc>
          <w:tcPr>
            <w:tcW w:w="2418" w:type="dxa"/>
            <w:gridSpan w:val="2"/>
            <w:vAlign w:val="top"/>
          </w:tcPr>
          <w:p w14:paraId="6B3E6A08">
            <w:pPr>
              <w:spacing w:before="49" w:line="209" w:lineRule="auto"/>
              <w:ind w:left="9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>期</w:t>
            </w:r>
          </w:p>
        </w:tc>
        <w:tc>
          <w:tcPr>
            <w:tcW w:w="2425" w:type="dxa"/>
            <w:vAlign w:val="top"/>
          </w:tcPr>
          <w:p w14:paraId="735CE79D">
            <w:pPr>
              <w:pStyle w:val="7"/>
            </w:pPr>
          </w:p>
        </w:tc>
      </w:tr>
      <w:tr w14:paraId="17D10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683" w:type="dxa"/>
            <w:gridSpan w:val="7"/>
            <w:vAlign w:val="top"/>
          </w:tcPr>
          <w:p w14:paraId="7F537C7C">
            <w:pPr>
              <w:spacing w:before="49" w:line="209" w:lineRule="auto"/>
              <w:ind w:left="36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项目主管部门审核意见</w:t>
            </w:r>
          </w:p>
        </w:tc>
      </w:tr>
      <w:tr w14:paraId="559D2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683" w:type="dxa"/>
            <w:gridSpan w:val="7"/>
            <w:vAlign w:val="top"/>
          </w:tcPr>
          <w:p w14:paraId="6318E46F">
            <w:pPr>
              <w:spacing w:before="66" w:line="219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资料完整，符合存档要求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□是   □否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□不适用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签字：        日期：</w:t>
            </w:r>
          </w:p>
        </w:tc>
      </w:tr>
    </w:tbl>
    <w:p w14:paraId="7D64BB77">
      <w:pPr>
        <w:spacing w:before="49" w:line="285" w:lineRule="auto"/>
        <w:ind w:left="87" w:right="4" w:firstLine="429"/>
        <w:jc w:val="both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1"/>
          <w:sz w:val="20"/>
          <w:szCs w:val="20"/>
        </w:rPr>
        <w:t>注：①“提前退出研究参与者一览表</w:t>
      </w:r>
      <w:r>
        <w:rPr>
          <w:rFonts w:ascii="仿宋" w:hAnsi="仿宋" w:eastAsia="仿宋" w:cs="仿宋"/>
          <w:spacing w:val="-7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1"/>
          <w:sz w:val="20"/>
          <w:szCs w:val="20"/>
        </w:rPr>
        <w:t>”至少应包括：研究参与者编号、退</w:t>
      </w:r>
      <w:r>
        <w:rPr>
          <w:rFonts w:ascii="仿宋" w:hAnsi="仿宋" w:eastAsia="仿宋" w:cs="仿宋"/>
          <w:spacing w:val="10"/>
          <w:sz w:val="20"/>
          <w:szCs w:val="20"/>
        </w:rPr>
        <w:t>出原因、退出时研究参与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2"/>
          <w:sz w:val="20"/>
          <w:szCs w:val="20"/>
        </w:rPr>
        <w:t>者健康情况。②“</w:t>
      </w:r>
      <w:r>
        <w:rPr>
          <w:rFonts w:ascii="Times New Roman" w:hAnsi="Times New Roman" w:eastAsia="Times New Roman" w:cs="Times New Roman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SUSAR</w:t>
      </w:r>
      <w:r>
        <w:rPr>
          <w:rFonts w:ascii="Times New Roman" w:hAnsi="Times New Roman" w:eastAsia="Times New Roman" w:cs="Times New Roman"/>
          <w:spacing w:val="2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2"/>
          <w:sz w:val="20"/>
          <w:szCs w:val="20"/>
        </w:rPr>
        <w:t>一览表</w:t>
      </w:r>
      <w:r>
        <w:rPr>
          <w:rFonts w:ascii="仿宋" w:hAnsi="仿宋" w:eastAsia="仿宋" w:cs="仿宋"/>
          <w:spacing w:val="-6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2"/>
          <w:sz w:val="20"/>
          <w:szCs w:val="20"/>
        </w:rPr>
        <w:t>”至少应包括研究参与者编号、</w:t>
      </w:r>
      <w:r>
        <w:rPr>
          <w:rFonts w:ascii="Times New Roman" w:hAnsi="Times New Roman" w:eastAsia="Times New Roman" w:cs="Times New Roman"/>
          <w:sz w:val="20"/>
          <w:szCs w:val="20"/>
        </w:rPr>
        <w:t>SAE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SUSAR</w:t>
      </w:r>
      <w:r>
        <w:rPr>
          <w:rFonts w:ascii="Times New Roman" w:hAnsi="Times New Roman" w:eastAsia="Times New Roman" w:cs="Times New Roman"/>
          <w:spacing w:val="-1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2"/>
          <w:sz w:val="20"/>
          <w:szCs w:val="20"/>
        </w:rPr>
        <w:t>、具体诊断、与该临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床研究的相关性、预期性、研究参与者转归和是否赔偿。③“</w:t>
      </w:r>
      <w:r>
        <w:rPr>
          <w:rFonts w:ascii="仿宋" w:hAnsi="仿宋" w:eastAsia="仿宋" w:cs="仿宋"/>
          <w:spacing w:val="9"/>
          <w:sz w:val="20"/>
          <w:szCs w:val="20"/>
        </w:rPr>
        <w:t>违背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/</w:t>
      </w:r>
      <w:r>
        <w:rPr>
          <w:rFonts w:ascii="仿宋" w:hAnsi="仿宋" w:eastAsia="仿宋" w:cs="仿宋"/>
          <w:spacing w:val="9"/>
          <w:sz w:val="20"/>
          <w:szCs w:val="20"/>
        </w:rPr>
        <w:t>偏离方案一览表</w:t>
      </w:r>
      <w:r>
        <w:rPr>
          <w:rFonts w:ascii="仿宋" w:hAnsi="仿宋" w:eastAsia="仿宋" w:cs="仿宋"/>
          <w:spacing w:val="-73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”至少应包括研究参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与者编号、发生日期、发现日期、违背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/</w:t>
      </w:r>
      <w:r>
        <w:rPr>
          <w:rFonts w:ascii="仿宋" w:hAnsi="仿宋" w:eastAsia="仿宋" w:cs="仿宋"/>
          <w:spacing w:val="10"/>
          <w:sz w:val="20"/>
          <w:szCs w:val="20"/>
        </w:rPr>
        <w:t>偏离方案类型、事件描述、事件发生的原因、对研究参与者的影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响、对研究结果的影响和处理措施。其中，方案违背类型：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1.</w:t>
      </w:r>
      <w:r>
        <w:rPr>
          <w:rFonts w:ascii="仿宋" w:hAnsi="仿宋" w:eastAsia="仿宋" w:cs="仿宋"/>
          <w:spacing w:val="9"/>
          <w:sz w:val="20"/>
          <w:szCs w:val="20"/>
        </w:rPr>
        <w:t>重大方案违背：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1.</w:t>
      </w:r>
      <w:r>
        <w:rPr>
          <w:rFonts w:ascii="Times New Roman" w:hAnsi="Times New Roman" w:eastAsia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20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纳入不符</w:t>
      </w:r>
      <w:r>
        <w:rPr>
          <w:rFonts w:ascii="仿宋" w:hAnsi="仿宋" w:eastAsia="仿宋" w:cs="仿宋"/>
          <w:spacing w:val="8"/>
          <w:sz w:val="20"/>
          <w:szCs w:val="20"/>
        </w:rPr>
        <w:t>合纳入标准的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研究参与者；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1.2</w:t>
      </w:r>
      <w:r>
        <w:rPr>
          <w:rFonts w:ascii="Times New Roman" w:hAnsi="Times New Roman" w:eastAsia="Times New Roman" w:cs="Times New Roman"/>
          <w:spacing w:val="24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研究过程中，符合提前中止研究标准而没有让研究参与者退出；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1.3</w:t>
      </w:r>
      <w:r>
        <w:rPr>
          <w:rFonts w:ascii="Times New Roman" w:hAnsi="Times New Roman" w:eastAsia="Times New Roman" w:cs="Times New Roman"/>
          <w:spacing w:val="19"/>
          <w:w w:val="10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给予研究参与者错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误的治疗或不正确的剂量；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1.4</w:t>
      </w:r>
      <w:r>
        <w:rPr>
          <w:rFonts w:ascii="Times New Roman" w:hAnsi="Times New Roman" w:eastAsia="Times New Roman" w:cs="Times New Roman"/>
          <w:spacing w:val="2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给予研究参与者方案禁用的合并用药；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1.5</w:t>
      </w:r>
      <w:r>
        <w:rPr>
          <w:rFonts w:ascii="Times New Roman" w:hAnsi="Times New Roman" w:eastAsia="Times New Roman" w:cs="Times New Roman"/>
          <w:spacing w:val="2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任何偏离研究特定的程序或评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4"/>
          <w:sz w:val="20"/>
          <w:szCs w:val="20"/>
        </w:rPr>
        <w:t>估，从而对研究参与者的权益、安全和健康，或对研究结果产生显著</w:t>
      </w:r>
      <w:r>
        <w:rPr>
          <w:rFonts w:ascii="仿宋" w:hAnsi="仿宋" w:eastAsia="仿宋" w:cs="仿宋"/>
          <w:spacing w:val="3"/>
          <w:sz w:val="20"/>
          <w:szCs w:val="20"/>
        </w:rPr>
        <w:t>影响的研究行为。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2.</w:t>
      </w:r>
      <w:r>
        <w:rPr>
          <w:rFonts w:ascii="仿宋" w:hAnsi="仿宋" w:eastAsia="仿宋" w:cs="仿宋"/>
          <w:spacing w:val="3"/>
          <w:sz w:val="20"/>
          <w:szCs w:val="20"/>
        </w:rPr>
        <w:t>持续违背方案（不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5"/>
          <w:sz w:val="20"/>
          <w:szCs w:val="20"/>
        </w:rPr>
        <w:t>属于上述重大违背方案，但反复多次的违背方案）。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3.</w:t>
      </w:r>
      <w:r>
        <w:rPr>
          <w:rFonts w:ascii="仿宋" w:hAnsi="仿宋" w:eastAsia="仿宋" w:cs="仿宋"/>
          <w:spacing w:val="5"/>
          <w:sz w:val="20"/>
          <w:szCs w:val="20"/>
        </w:rPr>
        <w:t>研究者不配合监察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</w:t>
      </w:r>
      <w:r>
        <w:rPr>
          <w:rFonts w:ascii="仿宋" w:hAnsi="仿宋" w:eastAsia="仿宋" w:cs="仿宋"/>
          <w:spacing w:val="5"/>
          <w:sz w:val="20"/>
          <w:szCs w:val="20"/>
        </w:rPr>
        <w:t>稽查。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4.</w:t>
      </w:r>
      <w:r>
        <w:rPr>
          <w:rFonts w:ascii="仿宋" w:hAnsi="仿宋" w:eastAsia="仿宋" w:cs="仿宋"/>
          <w:spacing w:val="4"/>
          <w:sz w:val="20"/>
          <w:szCs w:val="20"/>
        </w:rPr>
        <w:t>对违规事件不予以纠正。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5.</w:t>
      </w:r>
      <w:r>
        <w:rPr>
          <w:rFonts w:ascii="仿宋" w:hAnsi="仿宋" w:eastAsia="仿宋" w:cs="仿宋"/>
          <w:spacing w:val="5"/>
          <w:sz w:val="20"/>
          <w:szCs w:val="20"/>
        </w:rPr>
        <w:t>其它违背方案。</w:t>
      </w:r>
    </w:p>
    <w:p w14:paraId="729AC154">
      <w:pPr>
        <w:spacing w:line="285" w:lineRule="auto"/>
        <w:rPr>
          <w:rFonts w:ascii="仿宋" w:hAnsi="仿宋" w:eastAsia="仿宋" w:cs="仿宋"/>
          <w:sz w:val="20"/>
          <w:szCs w:val="20"/>
        </w:rPr>
        <w:sectPr>
          <w:headerReference r:id="rId5" w:type="default"/>
          <w:footerReference r:id="rId6" w:type="default"/>
          <w:pgSz w:w="11906" w:h="16839"/>
          <w:pgMar w:top="400" w:right="1109" w:bottom="1039" w:left="1108" w:header="0" w:footer="852" w:gutter="0"/>
          <w:cols w:space="720" w:num="1"/>
        </w:sectPr>
      </w:pPr>
    </w:p>
    <w:p w14:paraId="585EAE72">
      <w:pPr>
        <w:pStyle w:val="2"/>
        <w:spacing w:line="260" w:lineRule="auto"/>
      </w:pPr>
    </w:p>
    <w:p w14:paraId="503308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CAA41">
    <w:pPr>
      <w:spacing w:line="184" w:lineRule="auto"/>
      <w:ind w:left="4742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72383">
    <w:pPr>
      <w:pStyle w:val="3"/>
      <w:pBdr>
        <w:bottom w:val="single" w:color="auto" w:sz="4" w:space="1"/>
      </w:pBdr>
      <w:tabs>
        <w:tab w:val="left" w:pos="2100"/>
      </w:tabs>
      <w:rPr>
        <w:rFonts w:hint="default" w:eastAsia="宋体"/>
        <w:lang w:val="en-US" w:eastAsia="zh-CN"/>
      </w:rPr>
    </w:pPr>
    <w:r>
      <w:drawing>
        <wp:inline distT="0" distB="0" distL="114300" distR="114300">
          <wp:extent cx="1501140" cy="215265"/>
          <wp:effectExtent l="0" t="0" r="3810" b="13335"/>
          <wp:docPr id="6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                              伦理委员会3.0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F08D9"/>
    <w:rsid w:val="6D0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2025-02-11T08:17:00Z</dcterms:created>
  <dc:creator>爱丝可灵</dc:creator>
  <cp:lastModifiedBy>爱丝可灵</cp:lastModifiedBy>
  <dcterms:modified xsi:type="dcterms:W3CDTF">2025-02-11T08:19:01Z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8FB9D559F1F44E32ADC4A9F115D253EE_11</vt:lpwstr>
  </property>
  <property fmtid="{D5CDD505-2E9C-101B-9397-08002B2CF9AE}" pid="4" name="KSOTemplateDocerSaveRecord">
    <vt:lpwstr>eyJoZGlkIjoiNWFhMzUyODVjM2Y0YWMzYzIwMWE3YzFhZTAxZGIwZWYiLCJ1c2VySWQiOiIyMzU2NzQ2NjgifQ==</vt:lpwstr>
  </property>
</Properties>
</file>